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line="582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山西大同大学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line="582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年引进博士工作方案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山西大同大学坐落于“中国历史文化名城”——大同，办学历史可以追溯到20世纪50年代。2016年入选山西省本科高校向应用型转变试点高校，2017年成为山西省唯一的厅市共建高校，2018年获批硕士学位授予单位，2021年成为山西省首批高水平应用型本科高校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学校设有22个学院，现有本科专业7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个，涵盖文学、历史学、农学、理学、工学、医学等1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0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个学科门类，其中国家级一流专业建设点4个、山西省一流专业建设点16个、国家级一流课程1门、省级一流课程82门，省级课程思政示范课程4门。有3个一级学科硕士学位授权点、7个硕士学位授权专业类别、12个山西省一流学科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为全面实施人才强校战略和学校“十四五”建设发展规划，进一步优化师资队伍结构，加强学科专业建设，全面提升办学水平，现制定202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年度引进博士工作方案如下。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山西大同大学热忱欢迎国内外博士研究生加入，本招聘方案全年有效。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一、引进对象及基本条件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具有博士研究生学历、学位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本硕博专业一致或相近，年龄原则上不超过40岁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毕业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必须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我校招聘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专业一致（具体引进专业见附件）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。</w:t>
      </w:r>
      <w:r>
        <w:rPr>
          <w:rStyle w:val="10"/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>博士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毕业于教育部认定的双一流建设高校及建设学科，或世界一流大学，优先引进。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引进方式：全职引进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，纳入事业编制管理。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二、引进博士的相关待遇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（一）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安家费和科研启动费：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引进博士享受安家费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10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-60万元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eastAsia="zh-CN"/>
        </w:rPr>
        <w:t>（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税前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eastAsia="zh-CN"/>
        </w:rPr>
        <w:t>）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6个月试用期满，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一次性发放；享受科研启动费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5-20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万元，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6个月试用期满，按照学科建设需求，经项目申报评审后，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立项执行。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（二）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倾向性待遇：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享受博士津贴2000元/月，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首次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执行期3年。之后，每3年考核一次，考核结果作为下一个聘期博士津贴发放的依据。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（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住房安置：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入职后，按照学校公租房管理办法，根据学校房源情况，提供过渡性公租房。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（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四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配偶就业：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特别优秀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且属于我校紧缺专业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的博士研究生，其配偶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具有硕士研究生学历学位者，经协商，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实行“一事一议”，以人事代理方式入职我校。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eastAsia="zh-CN"/>
        </w:rPr>
        <w:t>（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五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eastAsia="zh-CN"/>
        </w:rPr>
        <w:t>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子女入学：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符合大同市全职引进的高层次人才，在义务教育阶段自愿在我市接受教育，首次入学时，可不受户籍和居住地限制。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（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六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</w:rPr>
        <w:t>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山西省待遇：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符合山西省财政厅、省人力资源和社会保障厅关于《鼓励优秀博士毕业生来晋工作实施办法（试行）》规定的引进人才，学校可协助申请相关待遇，含生活补助10万元（博士后2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0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万），科研经费5万元（博士后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10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万）。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eastAsia="zh-CN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eastAsia="zh-CN"/>
        </w:rPr>
        <w:t>（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七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eastAsia="zh-CN"/>
        </w:rPr>
        <w:t>）</w:t>
      </w:r>
      <w:r>
        <w:rPr>
          <w:rStyle w:val="10"/>
          <w:rFonts w:hint="eastAsia" w:ascii="楷体_GB2312" w:hAnsi="楷体_GB2312" w:eastAsia="楷体_GB2312" w:cs="楷体_GB2312"/>
          <w:b w:val="0"/>
          <w:bCs/>
          <w:snapToGrid w:val="0"/>
          <w:color w:val="auto"/>
          <w:sz w:val="32"/>
          <w:szCs w:val="32"/>
          <w:lang w:val="en-US" w:eastAsia="zh-CN"/>
        </w:rPr>
        <w:t>大同市待遇：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符合大同市“双十六条”人才政策规定的引进人才，学校协助申请相关待遇，包括凤凰英才卡、生活补贴、学费补贴、租房、购房补贴等。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三、引进程序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（一）报名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有意加入的博士研究生与党委人才办和校内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各用人单位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负责人联系，并将应聘材料电子扫描版发送至党委人才办邮箱（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sxdtdxrcb@163.com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用人单位指定电子邮箱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eastAsia="zh-CN"/>
        </w:rPr>
        <w:t>（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邮件名为姓名-毕业院校-专业-应聘学院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eastAsia="zh-CN"/>
        </w:rPr>
        <w:t>）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，即可完成报名；也可在我校开展的校外博士招聘活动现场进行报名。应聘材料包括：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1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.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山西大同大学招聘博士报名登记表；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2.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个人简历；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3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.本人身份证；已取得的毕业证(本、硕、博)、学位证(本、硕、博)；国内未毕业博士，提供按时毕业证明；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国（境）外博士毕业生，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提供教育部留学服务中心出具的学历、学位认证书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（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毕业时间及所学专业名称以认证为准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）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就读博士学位期间的成绩单以及过程性材料（学习记录、导师评语、国际会议报告等）。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国（境）外博士毕业生就读高校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一般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应为世界排名前500位的院校（以最新版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QS、THE、USnews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世界大学排名为准），学制不少于三年，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其质量不低于国内同类型博士学位质量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；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4.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应届毕业生提供导师推荐信，所在学校院系党组织加盖公章的个人现实表现证明；已毕业的学生提供户口所在地派出所、社区、村委会出具的遵纪守法、思想政治表现等证明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；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党员提供所在党组织加盖公章的政治思想和现实表现证明；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5.本人教学、科研成果等支撑材料；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6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.二级甲等以上医院体检证明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eastAsia="zh-CN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（二）</w:t>
      </w: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资格审查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各用人单位对报名的博士研究生进行资格初审，党委人才办进行资格复审，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并拟定初步引进待遇。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（三）心理健康测试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通过资格审查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的应聘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博士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须参加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我校心理健康教育与咨询中心组织的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心理健康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测试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，未参加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测试或测试不合格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的应聘人员，取消其应聘资格。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（四）面试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心理健康测试通过人员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  <w:lang w:val="en-US" w:eastAsia="zh-CN"/>
        </w:rPr>
        <w:t>，</w:t>
      </w:r>
      <w:r>
        <w:rPr>
          <w:rStyle w:val="10"/>
          <w:rFonts w:hint="eastAsia" w:ascii="仿宋_GB2312" w:hAnsi="仿宋_GB2312" w:eastAsia="仿宋_GB2312" w:cs="仿宋_GB2312"/>
          <w:b w:val="0"/>
          <w:bCs/>
          <w:snapToGrid w:val="0"/>
          <w:color w:val="auto"/>
          <w:sz w:val="32"/>
          <w:szCs w:val="32"/>
        </w:rPr>
        <w:t>由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二级单位联合党委人才办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进行全面考察。主要考察其政治思想素质、教学能力、科研水平、个人品质等。考察一般采取面试方式。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（五）审核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考察结束后，经学院党政联席会议研究，提出拟聘用名单，形成考察报告，连同应聘材料报党委人才办进行审核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综合评定后，提出拟录用人员，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提交党委人才工作领导小组审议。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审议通过，提交校党委常委会研究。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（六）研究和公示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经常委会研究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通过，进入公示环节，公示期满无异议，即可录用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签订录用意向书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四、引进博士的管理方式和服务期限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）拟录用人员需按规定时间来校报到。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非应届博士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录用后（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应届博士毕业后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）1个月内无故未按时报到的，或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个月内未交回相关档案材料的，取消其录用资格；无故不到岗或自动放弃录用资格的，记入个人诚信档案。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）应聘者对自己所填报资料的真实性负责，诚实应聘。对伪造、涂改证件、证明，或以其它不正当手段获取应聘资格，一经查实，即予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取消录用资格和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解除聘用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）引进博士实行合同管理，在享受待遇前，需签订有关服务期限、相应权利义务及违约责任的协议书。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）凡全职引进的博士，最低入职服务年限为8年。实际服务年限不足协议确定年限的，按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规定承担违约责任。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五、咨询联系人及联系方式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联系人：张老师、吴老师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手机：1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5934256143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（张老师） 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13028087527</w:t>
      </w: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（吴老师）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邮箱：sxdtdxrcb@163.com</w:t>
      </w: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82" w:lineRule="exact"/>
        <w:ind w:firstLine="4160" w:firstLineChars="13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山西大同大学党委人才办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line="582" w:lineRule="exact"/>
        <w:ind w:firstLine="4160" w:firstLineChars="13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月</w:t>
      </w:r>
    </w:p>
    <w:sectPr>
      <w:footerReference r:id="rId3" w:type="default"/>
      <w:pgSz w:w="11906" w:h="16838"/>
      <w:pgMar w:top="2154" w:right="1531" w:bottom="1871" w:left="1531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@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422"/>
        <w:tab w:val="clear" w:pos="4153"/>
      </w:tabs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mOWEyMjdjODcyODU1YjE0NzkzMWM0MjVmMWM5YWUifQ=="/>
  </w:docVars>
  <w:rsids>
    <w:rsidRoot w:val="00505433"/>
    <w:rsid w:val="00023F3C"/>
    <w:rsid w:val="00087736"/>
    <w:rsid w:val="000C2FA2"/>
    <w:rsid w:val="000C5E4C"/>
    <w:rsid w:val="000D2BCD"/>
    <w:rsid w:val="000D3464"/>
    <w:rsid w:val="000E38B3"/>
    <w:rsid w:val="00116A36"/>
    <w:rsid w:val="001251AD"/>
    <w:rsid w:val="00152598"/>
    <w:rsid w:val="00155DA3"/>
    <w:rsid w:val="00164C8C"/>
    <w:rsid w:val="00191635"/>
    <w:rsid w:val="00192FA0"/>
    <w:rsid w:val="00196B01"/>
    <w:rsid w:val="001B037A"/>
    <w:rsid w:val="001B1F46"/>
    <w:rsid w:val="001F43E9"/>
    <w:rsid w:val="002043E1"/>
    <w:rsid w:val="00215261"/>
    <w:rsid w:val="0026688F"/>
    <w:rsid w:val="002C46FC"/>
    <w:rsid w:val="002E001D"/>
    <w:rsid w:val="002E1B08"/>
    <w:rsid w:val="002F1DCC"/>
    <w:rsid w:val="00323E5D"/>
    <w:rsid w:val="00360C0A"/>
    <w:rsid w:val="003A5FAE"/>
    <w:rsid w:val="003E4F68"/>
    <w:rsid w:val="003E6753"/>
    <w:rsid w:val="003F4B8F"/>
    <w:rsid w:val="004033B4"/>
    <w:rsid w:val="00433BED"/>
    <w:rsid w:val="00442B9C"/>
    <w:rsid w:val="00452A72"/>
    <w:rsid w:val="00463CBD"/>
    <w:rsid w:val="00471C58"/>
    <w:rsid w:val="004725E4"/>
    <w:rsid w:val="00481ACD"/>
    <w:rsid w:val="0049776C"/>
    <w:rsid w:val="004A642D"/>
    <w:rsid w:val="004D1A6A"/>
    <w:rsid w:val="004E5A53"/>
    <w:rsid w:val="005021E9"/>
    <w:rsid w:val="005050CC"/>
    <w:rsid w:val="00505433"/>
    <w:rsid w:val="005201F4"/>
    <w:rsid w:val="00544C0E"/>
    <w:rsid w:val="005451E0"/>
    <w:rsid w:val="00546A70"/>
    <w:rsid w:val="00550A64"/>
    <w:rsid w:val="00566639"/>
    <w:rsid w:val="005B0C39"/>
    <w:rsid w:val="005B3015"/>
    <w:rsid w:val="005B4418"/>
    <w:rsid w:val="005C5D64"/>
    <w:rsid w:val="005F310F"/>
    <w:rsid w:val="005F5653"/>
    <w:rsid w:val="0061231D"/>
    <w:rsid w:val="00621554"/>
    <w:rsid w:val="00631F56"/>
    <w:rsid w:val="00651ABA"/>
    <w:rsid w:val="00673A7D"/>
    <w:rsid w:val="006975D8"/>
    <w:rsid w:val="006A1865"/>
    <w:rsid w:val="006A4828"/>
    <w:rsid w:val="006F116C"/>
    <w:rsid w:val="006F5A42"/>
    <w:rsid w:val="007000DE"/>
    <w:rsid w:val="00723369"/>
    <w:rsid w:val="00723D6C"/>
    <w:rsid w:val="00781FB0"/>
    <w:rsid w:val="00783804"/>
    <w:rsid w:val="00786B81"/>
    <w:rsid w:val="00794EED"/>
    <w:rsid w:val="007B6789"/>
    <w:rsid w:val="007B68A4"/>
    <w:rsid w:val="007D55E4"/>
    <w:rsid w:val="007E24F6"/>
    <w:rsid w:val="007E3406"/>
    <w:rsid w:val="00801833"/>
    <w:rsid w:val="00804628"/>
    <w:rsid w:val="008110CB"/>
    <w:rsid w:val="0081185F"/>
    <w:rsid w:val="008155BC"/>
    <w:rsid w:val="00871F24"/>
    <w:rsid w:val="00883186"/>
    <w:rsid w:val="008A1C04"/>
    <w:rsid w:val="008C6253"/>
    <w:rsid w:val="008D5C94"/>
    <w:rsid w:val="008E6DB1"/>
    <w:rsid w:val="00902174"/>
    <w:rsid w:val="009154FC"/>
    <w:rsid w:val="00980972"/>
    <w:rsid w:val="00986E18"/>
    <w:rsid w:val="009A34B5"/>
    <w:rsid w:val="009C7693"/>
    <w:rsid w:val="009D388F"/>
    <w:rsid w:val="009E0C0E"/>
    <w:rsid w:val="009F0FEB"/>
    <w:rsid w:val="00A0419F"/>
    <w:rsid w:val="00A1323D"/>
    <w:rsid w:val="00A30263"/>
    <w:rsid w:val="00A332A7"/>
    <w:rsid w:val="00A77FBD"/>
    <w:rsid w:val="00A8737B"/>
    <w:rsid w:val="00AC5BC1"/>
    <w:rsid w:val="00AD4F45"/>
    <w:rsid w:val="00AD5ABC"/>
    <w:rsid w:val="00AE18DD"/>
    <w:rsid w:val="00AE21A9"/>
    <w:rsid w:val="00AF53D0"/>
    <w:rsid w:val="00AF637E"/>
    <w:rsid w:val="00AF6878"/>
    <w:rsid w:val="00B24CC2"/>
    <w:rsid w:val="00B27AFF"/>
    <w:rsid w:val="00B32C6F"/>
    <w:rsid w:val="00B432D8"/>
    <w:rsid w:val="00B64818"/>
    <w:rsid w:val="00B65FFA"/>
    <w:rsid w:val="00B66A22"/>
    <w:rsid w:val="00B75060"/>
    <w:rsid w:val="00B81E24"/>
    <w:rsid w:val="00BA1840"/>
    <w:rsid w:val="00BC7E13"/>
    <w:rsid w:val="00BE475A"/>
    <w:rsid w:val="00BF475B"/>
    <w:rsid w:val="00C34585"/>
    <w:rsid w:val="00C366D6"/>
    <w:rsid w:val="00C37F47"/>
    <w:rsid w:val="00C47F0C"/>
    <w:rsid w:val="00CA396C"/>
    <w:rsid w:val="00CB1A0A"/>
    <w:rsid w:val="00CB3F22"/>
    <w:rsid w:val="00CD2CAC"/>
    <w:rsid w:val="00CD4607"/>
    <w:rsid w:val="00CE5802"/>
    <w:rsid w:val="00CF5799"/>
    <w:rsid w:val="00D176ED"/>
    <w:rsid w:val="00D236BB"/>
    <w:rsid w:val="00D7580D"/>
    <w:rsid w:val="00DB63A0"/>
    <w:rsid w:val="00DE4FB2"/>
    <w:rsid w:val="00E05BE6"/>
    <w:rsid w:val="00E073E2"/>
    <w:rsid w:val="00E14C09"/>
    <w:rsid w:val="00E178D1"/>
    <w:rsid w:val="00E61EE8"/>
    <w:rsid w:val="00E67F9B"/>
    <w:rsid w:val="00E777FD"/>
    <w:rsid w:val="00E77D4D"/>
    <w:rsid w:val="00E83FE7"/>
    <w:rsid w:val="00EA634A"/>
    <w:rsid w:val="00EA6AFC"/>
    <w:rsid w:val="00ED0691"/>
    <w:rsid w:val="00ED5DF9"/>
    <w:rsid w:val="00F05F10"/>
    <w:rsid w:val="00F12C2A"/>
    <w:rsid w:val="00F63972"/>
    <w:rsid w:val="00F644D3"/>
    <w:rsid w:val="00F81119"/>
    <w:rsid w:val="00FA11ED"/>
    <w:rsid w:val="00FA36B9"/>
    <w:rsid w:val="00FA3AE9"/>
    <w:rsid w:val="00FB069A"/>
    <w:rsid w:val="00FE70D1"/>
    <w:rsid w:val="01B038D9"/>
    <w:rsid w:val="03096967"/>
    <w:rsid w:val="05096405"/>
    <w:rsid w:val="0BA31A63"/>
    <w:rsid w:val="0DC91B8F"/>
    <w:rsid w:val="0EF55A45"/>
    <w:rsid w:val="1087479C"/>
    <w:rsid w:val="128357DE"/>
    <w:rsid w:val="1306336E"/>
    <w:rsid w:val="152E4432"/>
    <w:rsid w:val="187B4188"/>
    <w:rsid w:val="1B0F71C1"/>
    <w:rsid w:val="1B3000B3"/>
    <w:rsid w:val="1F0028D1"/>
    <w:rsid w:val="20344679"/>
    <w:rsid w:val="21B60952"/>
    <w:rsid w:val="2304690E"/>
    <w:rsid w:val="243472A5"/>
    <w:rsid w:val="243751F9"/>
    <w:rsid w:val="24B46B3A"/>
    <w:rsid w:val="26011C99"/>
    <w:rsid w:val="2A8E1573"/>
    <w:rsid w:val="2CE81574"/>
    <w:rsid w:val="31DB043B"/>
    <w:rsid w:val="31EA03B8"/>
    <w:rsid w:val="333170A5"/>
    <w:rsid w:val="3894435E"/>
    <w:rsid w:val="390A2347"/>
    <w:rsid w:val="41D978EA"/>
    <w:rsid w:val="45614FDD"/>
    <w:rsid w:val="464815FC"/>
    <w:rsid w:val="485F1F7F"/>
    <w:rsid w:val="50446212"/>
    <w:rsid w:val="50C45A60"/>
    <w:rsid w:val="50F92FF8"/>
    <w:rsid w:val="51A742B0"/>
    <w:rsid w:val="53C71F77"/>
    <w:rsid w:val="54A61249"/>
    <w:rsid w:val="5560764A"/>
    <w:rsid w:val="567B665C"/>
    <w:rsid w:val="58A91308"/>
    <w:rsid w:val="68FD36D6"/>
    <w:rsid w:val="6A5C442C"/>
    <w:rsid w:val="6C4B3A16"/>
    <w:rsid w:val="6C7672FB"/>
    <w:rsid w:val="6E2F0E6E"/>
    <w:rsid w:val="6E617E99"/>
    <w:rsid w:val="6F841D0D"/>
    <w:rsid w:val="71AA3CCF"/>
    <w:rsid w:val="726B3BC6"/>
    <w:rsid w:val="734343DB"/>
    <w:rsid w:val="77D31AA6"/>
    <w:rsid w:val="785552CB"/>
    <w:rsid w:val="78FC000A"/>
    <w:rsid w:val="7A772BBC"/>
    <w:rsid w:val="7AD62F69"/>
    <w:rsid w:val="7CE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6">
    <w:name w:val="Body Text First Indent 2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table" w:styleId="8">
    <w:name w:val="Table Grid"/>
    <w:basedOn w:val="7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FollowedHyperlink"/>
    <w:basedOn w:val="9"/>
    <w:autoRedefine/>
    <w:qFormat/>
    <w:uiPriority w:val="0"/>
    <w:rPr>
      <w:color w:val="333333"/>
      <w:u w:val="none"/>
    </w:rPr>
  </w:style>
  <w:style w:type="character" w:styleId="12">
    <w:name w:val="Emphasis"/>
    <w:basedOn w:val="9"/>
    <w:autoRedefine/>
    <w:qFormat/>
    <w:uiPriority w:val="0"/>
  </w:style>
  <w:style w:type="character" w:styleId="13">
    <w:name w:val="Hyperlink"/>
    <w:basedOn w:val="9"/>
    <w:autoRedefine/>
    <w:qFormat/>
    <w:uiPriority w:val="0"/>
    <w:rPr>
      <w:color w:val="333333"/>
      <w:u w:val="none"/>
    </w:rPr>
  </w:style>
  <w:style w:type="character" w:customStyle="1" w:styleId="14">
    <w:name w:val="页眉 字符"/>
    <w:basedOn w:val="9"/>
    <w:link w:val="3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页脚 字符"/>
    <w:basedOn w:val="9"/>
    <w:link w:val="2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6">
    <w:name w:val="font21"/>
    <w:basedOn w:val="9"/>
    <w:autoRedefine/>
    <w:qFormat/>
    <w:uiPriority w:val="0"/>
    <w:rPr>
      <w:rFonts w:hint="default" w:ascii="Arial" w:hAnsi="Arial" w:cs="Arial"/>
      <w:color w:val="0000FF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0D11-210D-4CE7-8C2C-2EDA39335F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1582</Characters>
  <Lines>13</Lines>
  <Paragraphs>3</Paragraphs>
  <TotalTime>18</TotalTime>
  <ScaleCrop>false</ScaleCrop>
  <LinksUpToDate>false</LinksUpToDate>
  <CharactersWithSpaces>1856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2021-12-17T07:05:00Z</dcterms:created>
  <dc:creator>张弘弛</dc:creator>
  <cp:lastModifiedBy>Administrator</cp:lastModifiedBy>
  <cp:lastPrinted>2024-02-29T02:04:00Z</cp:lastPrinted>
  <dcterms:modified xsi:type="dcterms:W3CDTF">2024-03-07T04:11:27Z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1B4E33DF37F6469790709F1C7218CDF7</vt:lpwstr>
  </property>
</Properties>
</file>